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2025 26 vom 24. Juli 2025</w:t>
      </w:r>
    </w:p>
    <w:p>
      <w:r>
        <w:t>SZ Gerichte, 2025-07-24, DE</w:t>
      </w:r>
    </w:p>
    <w:p>
      <w:r>
        <w:rPr>
          <w:b/>
        </w:rPr>
        <w:t xml:space="preserve">Quelle: </w:t>
      </w:r>
      <w:r>
        <w:t>https://mcp.opencaselaw.ch/entscheid/sz_gerichte_BEK 2025 26</w:t>
      </w:r>
    </w:p>
    <w:p>
      <w:r>
        <w:t>FR: SZ_GERICHTE BEK 2025 26 du 24 juillet 2025</w:t>
      </w:r>
    </w:p>
    <w:p>
      <w:r>
        <w:t>IT: SZ_GERICHTE BEK 2025 26 del 24 luglio 2025</w:t>
      </w:r>
    </w:p>
    <w:p>
      <w:pPr>
        <w:pStyle w:val="Heading2"/>
      </w:pPr>
      <w:r>
        <w:t>Regeste</w:t>
      </w:r>
    </w:p>
    <w:p>
      <w:r>
        <w:t>Nichtanhandnahme Strafverfahren | Staatsanwaltschaft</w:t>
      </w:r>
    </w:p>
    <w:p>
      <w:pPr>
        <w:pStyle w:val="Heading2"/>
      </w:pPr>
      <w:r>
        <w:t>Erwägungen</w:t>
      </w:r>
    </w:p>
    <w:p>
      <w:r>
        <w:rPr>
          <w:b/>
        </w:rPr>
        <w:t>E. 1</w:t>
      </w:r>
    </w:p>
    <w:p>
      <w:r>
        <w:t>Staatsanwaltschaft, 2. Abteilung, Postfach 1201, 6431 Schwyz, Strafverfolgungsbehörde und Beschwerdegegnerin, vertreten durch Staatsanwalt B.________,</w:t>
      </w:r>
    </w:p>
    <w:p>
      <w:r>
        <w:rPr>
          <w:b/>
        </w:rPr>
        <w:t>E. 2</w:t>
      </w:r>
    </w:p>
    <w:p>
      <w:r>
        <w:t>Die Beschwerdekammer erwog zur Aufhebung der ersten Nichtanhand- nahmeverfügung (BEK 2024 84 vom 9. April 2024 E. 3.b): Die Staatsanwaltschaft befasst sich in der angefochtenen Verfügung nicht mit dem angezeigten Sachverhalt, wonach vorliegend eine gesetz- lich verbotene Übertragung von Informationen über den Bezug von Er- gänzungsleistungen stattgefunden habe. Auch erwägt sie in rechtlicher Hinsicht nicht, ob Art. 69f RTVG (insbesondere auch Abs. 3 dieser Be- stimmung) über Art. 9 Abs. 1 lit. b i.V.m. Art. 61 lit. b DSG auf den ver- zeigten Sachverhalt anwendbar sei. Folgedessen vermag die Staatsan- waltschaft mit der angefochtenen Verfügung keine offensichtliche Straflo- sigkeit des verzeigten Vorfalles darzutun.</w:t>
      </w:r>
    </w:p>
    <w:p>
      <w:r>
        <w:t>Kantonsgericht Schwyz 3 a) Der Beschwerdeführer schliesst aufgrund der Frankatur der Verfügung betreffend die Aufhebung der Befreiung von der Haushaltsabgabe für Radio und Fernsehen bei Bezug von Ergänzungsleistungen vom 28. September 2023 (U-act. 8.1.002), dass das entsprechende Schreiben nicht am Sitz der Beschwerdegegnerin, sondern unzulässigerweise durch einen externen Druckdienstleister in Zürich-Mülligen bearbeitet worden sei. Die Staatsanwalt- schaft hingegen verneint inzwischen einen hinreichenden Anfangsverdacht, weil vom Ort der Übergabe eines Schreibens an die Post nicht ohne Weiteres darauf geschlossen werden könne, wo und von wem die inkriminierte Verfü- gung betreffend die Aufhebung der Befreiung von der Haushaltsabgabe für Radio und Fernsehen bei Bezug von Ergänzungsleistungen verfasst worden sei (angef. Verfügung E. 6). Indes hält der Beschwerdeführer dafür, die An- nahme der Staatsanwaltschaft sei abwegig, die Beschwerdegegnerin mit ihren wenigen Mitarbeitern würde Korrespondenz bezüglich der Befreiung von der Haushaltsabgabe für Bezüger von Ergänzungsleistungen an ihrem Sitz aus- drucken und zur Postaufgabe mehr als 40 Minuten ins 54 km entfernte Post- zentrum Zürich-Mülligen transportieren. Ferner sei es willkürlich anzunehmen, ein rechtswidriges Verhalten der Beschwerdegegnerin wäre längst ruchbar geworden. b) Die zur Eröffnung einer Strafuntersuchung erforderlichen tatsächlichen Hinweise auf eine strafbare Handlung müssen erheblich und konkreter Natur sein. Blosse Gerüchte oder Vermutungen genügen nicht. Der Anfangsver- dacht soll eine plausible Tatsachengrundlage haben, aus der sich die konkrete Möglichkeit ergibt, dass eine Straftat begangen worden ist (BEK 2021 113 vom 19. November 2021 E. 5.a m.H. u.a. auf BGE 141 IV 87 E. 1.3.1). Es gibt keinen allgemeinen Erfahrungssatz, dass am Ort der Übergabe von Sendun- gen an die Post die entsprechenden Personendaten bearbeitet werden. Eben- so wenig kann aus dem Umstand, dass dieser Ort nicht mit dem Sitz der Be- schwerdegegnerin identisch ist, darauf geschlossen werden, dass ein externer</w:t>
      </w:r>
    </w:p>
    <w:p>
      <w:r>
        <w:t>Kantonsgericht Schwyz 4 Dienstleister nach Art. 9 Abs. 1 und 2 DSG i.V.m. Art. 69f Abs. 3 RTVG un- zulässige Einsicht in die verschickten Personendaten erhält. Hinzu kommt vorliegend, dass überhaupt keine konkreten Anhaltspunkte bestehen, dass unbefugte Dritte in die Post Einblick nahmen. Soweit der Beschwerdeführer aufgrund der Entfernung des Postaufgabeortes vom Sitz der Beschwerdegeg- nerin annimmt, es müsse ein externer Dienstleister die Personendaten bear- beitet haben, erweist sich diese Annahme daher als blosse Vermutung. Sie vermag trotz der nicht unerheblichen Distanz zwischen Sitz und Postaufgabe- ort keinen hinreichenden Anfangsverdacht auf konkretes strafbares Verhalten zu begründen. Insofern ist kein Sachverhalt ersichtlich, der den Straftatbe- stand von Art. 61 lit. b DSG erfüllen könnte und ist die Nichtanhandnahme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